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64" w:lineRule="auto"/>
        <w:jc w:val="center"/>
        <w:rPr>
          <w:rFonts w:ascii="Spectral" w:cs="Spectral" w:eastAsia="Spectral" w:hAnsi="Spectral"/>
          <w:sz w:val="28"/>
          <w:szCs w:val="28"/>
          <w:u w:val="singl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40"/>
          <w:szCs w:val="40"/>
          <w:rtl w:val="0"/>
        </w:rPr>
        <w:t xml:space="preserve">Souhlas s podnájmem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64" w:lineRule="auto"/>
        <w:jc w:val="both"/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Bytové družstvo Petržílkova, družstvo, 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se sídlem Praha 5 - Stodůlky, Sluneční náměstí 2588/14, PSČ 158 00, IČ: 26777843, zapsané v obchodním rejstříku vedeném Městským soudem v Praze, sp.zn. Dr 5873 (dále jen „</w:t>
      </w: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Družstvo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“), jakožto vlastník 49% podílu na jednotce č. 2588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/[_____]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 (byt č.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) umístěné v domě č.p. 2588, 2589 umístěném na pozemcích parc.č. 2860/195 a 2860/196 v k.ú. Stodůlky, obci Praha (dále jen „</w:t>
      </w: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Jednotka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“), je na základě usnesení č. UR0275/2017 Rady </w:t>
      </w: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Městské části Praha 13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, Sluneční náměstí 2580/13, Stodůlky, 15800 Praha 5, jakožto subjektu, kterému byla svěřena správa 51% podílu na uvedené Jednotce (vlastníkem podílu je Hlavní město Praha, Mariánské náměstí 2/2, Staré Město, 11000 Praha 1), oprávněno rozhodovat o udělení souhlasu s podnájmem bytů v bytovém domě č.p. 2588.</w:t>
      </w:r>
    </w:p>
    <w:p w:rsidR="00000000" w:rsidDel="00000000" w:rsidP="00000000" w:rsidRDefault="00000000" w:rsidRPr="00000000" w14:paraId="00000003">
      <w:pPr>
        <w:spacing w:after="120" w:line="264" w:lineRule="auto"/>
        <w:jc w:val="both"/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V návaznosti na výše uvedené tímto Družstvo uděluje nájemci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, narozen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, trvale bytem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64" w:lineRule="auto"/>
        <w:jc w:val="center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souhlas</w:t>
      </w:r>
    </w:p>
    <w:p w:rsidR="00000000" w:rsidDel="00000000" w:rsidP="00000000" w:rsidRDefault="00000000" w:rsidRPr="00000000" w14:paraId="00000005">
      <w:pPr>
        <w:spacing w:after="120" w:line="264" w:lineRule="auto"/>
        <w:jc w:val="both"/>
        <w:rPr>
          <w:rFonts w:ascii="Spectral" w:cs="Spectral" w:eastAsia="Spectral" w:hAnsi="Spectral"/>
          <w:highlight w:val="white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s podnájmem Jednotky, tj. bytu č.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 na adrese Sluneční náměstí 2588/14, 158 00 Praha 5, podnájemci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 narozenému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, bytem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, Státní občanstvím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highlight w:val="white"/>
          <w:rtl w:val="0"/>
        </w:rPr>
        <w:t xml:space="preserve"> na dobu určitou od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highlight w:val="white"/>
          <w:rtl w:val="0"/>
        </w:rPr>
        <w:t xml:space="preserve"> do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highlight w:val="white"/>
          <w:rtl w:val="0"/>
        </w:rPr>
        <w:t xml:space="preserve"> ověřené dle smlouvy o nájmu ze dne </w:t>
      </w:r>
      <w:r w:rsidDel="00000000" w:rsidR="00000000" w:rsidRPr="00000000">
        <w:rPr>
          <w:rFonts w:ascii="Spectral" w:cs="Spectral" w:eastAsia="Spectral" w:hAnsi="Spectral"/>
          <w:highlight w:val="yellow"/>
          <w:rtl w:val="0"/>
        </w:rPr>
        <w:t xml:space="preserve">[_____]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64" w:lineRule="auto"/>
        <w:jc w:val="both"/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Nájemce převzetím tohoto dokumentu potvrzuje, že družstvu byla dodána i nedatovaná žádost o zrušení registrace pobytu evidovaného u MV ke dni zániku podnájemní smlouvy, pokud je s tímto souhlasem spojena registrace pobytu cizince na území ČR a ta bude použita po ukončení dotčeného podnájmu pro odregistrování na MV.</w:t>
      </w:r>
    </w:p>
    <w:p w:rsidR="00000000" w:rsidDel="00000000" w:rsidP="00000000" w:rsidRDefault="00000000" w:rsidRPr="00000000" w14:paraId="00000007">
      <w:pPr>
        <w:spacing w:after="120" w:line="264" w:lineRule="auto"/>
        <w:jc w:val="both"/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Dále nájemce stvrzuje, že podnájemce seznámil s obsahem domovního řádu a že práva povinnosti z něho vyplývající jsou obyvatelům pronajaté bytové jednotky nájemníka známy a nájemce odpovídá za jejich dodržování.</w:t>
      </w:r>
    </w:p>
    <w:p w:rsidR="00000000" w:rsidDel="00000000" w:rsidP="00000000" w:rsidRDefault="00000000" w:rsidRPr="00000000" w14:paraId="00000008">
      <w:pPr>
        <w:spacing w:after="120" w:line="264" w:lineRule="auto"/>
        <w:jc w:val="both"/>
        <w:rPr>
          <w:rFonts w:ascii="Spectral" w:cs="Spectral" w:eastAsia="Spectral" w:hAnsi="Spectr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678"/>
        </w:tabs>
        <w:spacing w:after="120" w:line="264" w:lineRule="auto"/>
        <w:jc w:val="both"/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V Praze, dne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          </w:t>
        <w:tab/>
        <w:t xml:space="preserve">V Praze, dne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[_____]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         </w:t>
      </w:r>
    </w:p>
    <w:p w:rsidR="00000000" w:rsidDel="00000000" w:rsidP="00000000" w:rsidRDefault="00000000" w:rsidRPr="00000000" w14:paraId="0000000A">
      <w:pPr>
        <w:spacing w:after="120" w:line="264" w:lineRule="auto"/>
        <w:jc w:val="both"/>
        <w:rPr>
          <w:rFonts w:ascii="Spectral" w:cs="Spectral" w:eastAsia="Spectral" w:hAnsi="Spectr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64" w:lineRule="auto"/>
              <w:jc w:val="both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64" w:lineRule="auto"/>
              <w:jc w:val="both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64" w:lineRule="auto"/>
              <w:jc w:val="both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rtl w:val="0"/>
              </w:rPr>
              <w:t xml:space="preserve">Bytové družstvo Petržílkova, družstvo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64" w:lineRule="auto"/>
              <w:jc w:val="both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rtl w:val="0"/>
              </w:rPr>
              <w:t xml:space="preserve">Bytové družstvo Petržílkova, družstvo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64" w:lineRule="auto"/>
              <w:jc w:val="both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64" w:lineRule="auto"/>
              <w:jc w:val="both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Michal Peterka</w:t>
            </w:r>
          </w:p>
          <w:p w:rsidR="00000000" w:rsidDel="00000000" w:rsidP="00000000" w:rsidRDefault="00000000" w:rsidRPr="00000000" w14:paraId="00000011">
            <w:pPr>
              <w:spacing w:line="264" w:lineRule="auto"/>
              <w:jc w:val="both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předseda představenstva</w:t>
            </w:r>
          </w:p>
          <w:p w:rsidR="00000000" w:rsidDel="00000000" w:rsidP="00000000" w:rsidRDefault="00000000" w:rsidRPr="00000000" w14:paraId="00000012">
            <w:pPr>
              <w:spacing w:line="264" w:lineRule="auto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64" w:lineRule="auto"/>
              <w:jc w:val="both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64" w:lineRule="auto"/>
              <w:jc w:val="both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Přemysl Hřiba</w:t>
            </w:r>
          </w:p>
          <w:p w:rsidR="00000000" w:rsidDel="00000000" w:rsidP="00000000" w:rsidRDefault="00000000" w:rsidRPr="00000000" w14:paraId="00000015">
            <w:pPr>
              <w:spacing w:line="264" w:lineRule="auto"/>
              <w:jc w:val="both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místopředseda představenstva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20"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">
    <w:name w:val="Body Text"/>
    <w:basedOn w:val="Normln"/>
    <w:link w:val="ZkladntextChar"/>
    <w:rsid w:val="001C30FB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ZkladntextChar" w:customStyle="1">
    <w:name w:val="Základní text Char"/>
    <w:basedOn w:val="Standardnpsmoodstavce"/>
    <w:link w:val="Zkladntext"/>
    <w:rsid w:val="001C30FB"/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Siln">
    <w:name w:val="Strong"/>
    <w:uiPriority w:val="22"/>
    <w:qFormat w:val="1"/>
    <w:rsid w:val="00D174D3"/>
    <w:rPr>
      <w:b w:val="1"/>
      <w:bCs w:val="1"/>
    </w:rPr>
  </w:style>
  <w:style w:type="character" w:styleId="spiszn" w:customStyle="1">
    <w:name w:val="spiszn"/>
    <w:rsid w:val="00D174D3"/>
  </w:style>
  <w:style w:type="table" w:styleId="Mkatabulky">
    <w:name w:val="Table Grid"/>
    <w:basedOn w:val="Normlntabulka"/>
    <w:uiPriority w:val="59"/>
    <w:rsid w:val="00F344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3p0ex+UmjUmxEnvc/JG6fBEK+w==">AMUW2mVZGdPzzZm+//C1TPzujQ5c9fGmpLgvhS3WGJzAmpU6kbwzOT5ca0tE+fXJbm04QDlgClNSPmjNw5ZV08pM9wj+5aAZ4saNpa/L9U3XQQ8LCUy+qSI=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2018-11-06T13:01:00Z</dcterms:created>
  <dc:creator>Deda</dc:creator>
</cp:coreProperties>
</file>